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F7FC" w14:textId="77777777" w:rsidR="00361703" w:rsidRDefault="00361703" w:rsidP="00361703">
      <w:r w:rsidRPr="008C26C6">
        <w:rPr>
          <w:b/>
        </w:rPr>
        <w:t>Technology category</w:t>
      </w:r>
      <w:r>
        <w:t>: Energy, lighting and fuel</w:t>
      </w:r>
    </w:p>
    <w:p w14:paraId="2C6E7130" w14:textId="7DB62F43" w:rsidR="00361703" w:rsidRDefault="00361703" w:rsidP="00361703">
      <w:r w:rsidRPr="00636805">
        <w:rPr>
          <w:b/>
        </w:rPr>
        <w:t>Title:</w:t>
      </w:r>
      <w:r w:rsidRPr="008C26C6">
        <w:t xml:space="preserve"> </w:t>
      </w:r>
      <w:r w:rsidR="00D767E1">
        <w:t xml:space="preserve">Attachments and accessories to improve convenience and extend life of PYRO stoves. </w:t>
      </w:r>
    </w:p>
    <w:p w14:paraId="51401A2B" w14:textId="693A7E2D" w:rsidR="002374B2" w:rsidRPr="002374B2" w:rsidRDefault="002374B2" w:rsidP="00361703">
      <w:pPr>
        <w:rPr>
          <w:b/>
        </w:rPr>
      </w:pPr>
      <w:r w:rsidRPr="002374B2">
        <w:rPr>
          <w:b/>
        </w:rPr>
        <w:t>Year of development:</w:t>
      </w:r>
      <w:r>
        <w:rPr>
          <w:b/>
        </w:rPr>
        <w:t xml:space="preserve"> 2016 - 2018</w:t>
      </w:r>
      <w:bookmarkStart w:id="0" w:name="_GoBack"/>
      <w:bookmarkEnd w:id="0"/>
    </w:p>
    <w:p w14:paraId="0FEBA14A" w14:textId="174118AE" w:rsidR="00361703" w:rsidRDefault="00361703" w:rsidP="00361703">
      <w:pPr>
        <w:rPr>
          <w:b/>
        </w:rPr>
      </w:pPr>
      <w:r w:rsidRPr="007311ED">
        <w:rPr>
          <w:b/>
        </w:rPr>
        <w:t xml:space="preserve">Introduction: </w:t>
      </w:r>
    </w:p>
    <w:p w14:paraId="4101A8A9" w14:textId="77777777" w:rsidR="00D767E1" w:rsidRDefault="00D767E1" w:rsidP="00D767E1">
      <w:r>
        <w:t xml:space="preserve">TIDE has also developed a range of attachments for its stoves. These are designed as inserts, add </w:t>
      </w:r>
      <w:proofErr w:type="spellStart"/>
      <w:r>
        <w:t>ons</w:t>
      </w:r>
      <w:proofErr w:type="spellEnd"/>
      <w:r>
        <w:t>, spares to increase the life of the stove. The end user can thus have to option of replacing only some stove parts instead of changing the stoves. Some attachments developed are</w:t>
      </w:r>
    </w:p>
    <w:p w14:paraId="77B03D19" w14:textId="77777777" w:rsidR="00D767E1" w:rsidRDefault="00D767E1" w:rsidP="00D767E1">
      <w:r>
        <w:t>Different options for an additional top plate insert to protect the top plate from corrosion and increase the life of the stove</w:t>
      </w:r>
    </w:p>
    <w:p w14:paraId="3F24E2E4" w14:textId="77777777" w:rsidR="00D767E1" w:rsidRDefault="00D767E1" w:rsidP="00D767E1">
      <w:pPr>
        <w:pStyle w:val="ListParagraph"/>
        <w:numPr>
          <w:ilvl w:val="0"/>
          <w:numId w:val="4"/>
        </w:numPr>
      </w:pPr>
      <w:r>
        <w:t>Roti puffing attachment for PYRO mini stoves</w:t>
      </w:r>
    </w:p>
    <w:p w14:paraId="05211395" w14:textId="77777777" w:rsidR="00D767E1" w:rsidRDefault="00D767E1" w:rsidP="00D767E1">
      <w:pPr>
        <w:pStyle w:val="ListParagraph"/>
        <w:numPr>
          <w:ilvl w:val="0"/>
          <w:numId w:val="4"/>
        </w:numPr>
      </w:pPr>
      <w:r>
        <w:t>Additional stands for greater stability of PYRO mini and chimney</w:t>
      </w:r>
    </w:p>
    <w:p w14:paraId="60F8EAEE" w14:textId="77777777" w:rsidR="00D767E1" w:rsidRDefault="00D767E1" w:rsidP="00D767E1">
      <w:pPr>
        <w:pStyle w:val="ListParagraph"/>
        <w:numPr>
          <w:ilvl w:val="0"/>
          <w:numId w:val="4"/>
        </w:numPr>
      </w:pPr>
      <w:r>
        <w:t xml:space="preserve">SS cladding for </w:t>
      </w:r>
      <w:proofErr w:type="spellStart"/>
      <w:r>
        <w:t>Tava</w:t>
      </w:r>
      <w:proofErr w:type="spellEnd"/>
      <w:r>
        <w:t xml:space="preserve"> stoves</w:t>
      </w:r>
    </w:p>
    <w:p w14:paraId="4859A851" w14:textId="77777777" w:rsidR="00D767E1" w:rsidRDefault="00D767E1" w:rsidP="00D767E1">
      <w:pPr>
        <w:pStyle w:val="ListParagraph"/>
        <w:numPr>
          <w:ilvl w:val="0"/>
          <w:numId w:val="4"/>
        </w:numPr>
      </w:pPr>
      <w:r>
        <w:t>Replaceable sloping grate</w:t>
      </w:r>
    </w:p>
    <w:p w14:paraId="329B0EEF" w14:textId="77777777" w:rsidR="00D767E1" w:rsidRDefault="00D767E1" w:rsidP="00D767E1">
      <w:pPr>
        <w:pStyle w:val="ListParagraph"/>
        <w:numPr>
          <w:ilvl w:val="0"/>
          <w:numId w:val="4"/>
        </w:numPr>
      </w:pPr>
      <w:r>
        <w:t xml:space="preserve">Insertable </w:t>
      </w:r>
      <w:proofErr w:type="gramStart"/>
      <w:r>
        <w:t>pre fab</w:t>
      </w:r>
      <w:proofErr w:type="gramEnd"/>
      <w:r>
        <w:t xml:space="preserve"> castable refractory insulation blocks for MP stoves</w:t>
      </w:r>
    </w:p>
    <w:p w14:paraId="0198A2B2" w14:textId="77777777" w:rsidR="00D767E1" w:rsidRDefault="00D767E1" w:rsidP="00D767E1">
      <w:pPr>
        <w:pStyle w:val="ListParagraph"/>
        <w:numPr>
          <w:ilvl w:val="0"/>
          <w:numId w:val="4"/>
        </w:numPr>
      </w:pPr>
      <w:r>
        <w:t>Chimney caps and rain proofing tile for chimney</w:t>
      </w:r>
    </w:p>
    <w:p w14:paraId="57A63F29" w14:textId="77777777" w:rsidR="00D767E1" w:rsidRDefault="00D767E1" w:rsidP="00D767E1">
      <w:pPr>
        <w:pStyle w:val="ListParagraph"/>
        <w:numPr>
          <w:ilvl w:val="0"/>
          <w:numId w:val="4"/>
        </w:numPr>
      </w:pPr>
      <w:r>
        <w:t>Stackable mud blocks as chimney</w:t>
      </w:r>
    </w:p>
    <w:p w14:paraId="1FD1E017" w14:textId="77777777" w:rsidR="00D767E1" w:rsidRDefault="00D767E1" w:rsidP="00D767E1">
      <w:pPr>
        <w:pStyle w:val="ListParagraph"/>
        <w:numPr>
          <w:ilvl w:val="0"/>
          <w:numId w:val="4"/>
        </w:numPr>
      </w:pPr>
      <w:r>
        <w:t xml:space="preserve">Power unit for the forced draft Agni </w:t>
      </w:r>
      <w:proofErr w:type="spellStart"/>
      <w:r>
        <w:t>Sakhi</w:t>
      </w:r>
      <w:proofErr w:type="spellEnd"/>
      <w:r>
        <w:t xml:space="preserve"> and Agni Mithra stoves. </w:t>
      </w:r>
    </w:p>
    <w:p w14:paraId="375C76AC" w14:textId="77777777" w:rsidR="00D767E1" w:rsidRPr="007311ED" w:rsidRDefault="00D767E1" w:rsidP="00361703">
      <w:pPr>
        <w:rPr>
          <w:b/>
        </w:rPr>
      </w:pPr>
    </w:p>
    <w:p w14:paraId="501201F2" w14:textId="44B8BED0" w:rsidR="00361703" w:rsidRPr="00361703" w:rsidRDefault="00D767E1" w:rsidP="00361703">
      <w:pPr>
        <w:rPr>
          <w:b/>
        </w:rPr>
      </w:pPr>
      <w:r>
        <w:rPr>
          <w:noProof/>
        </w:rPr>
        <mc:AlternateContent>
          <mc:Choice Requires="wps">
            <w:drawing>
              <wp:anchor distT="0" distB="0" distL="114300" distR="114300" simplePos="0" relativeHeight="251660288" behindDoc="1" locked="0" layoutInCell="1" allowOverlap="1" wp14:anchorId="7E7D1A9C" wp14:editId="2C324096">
                <wp:simplePos x="0" y="0"/>
                <wp:positionH relativeFrom="column">
                  <wp:posOffset>0</wp:posOffset>
                </wp:positionH>
                <wp:positionV relativeFrom="paragraph">
                  <wp:posOffset>2407920</wp:posOffset>
                </wp:positionV>
                <wp:extent cx="274320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057CADC9" w14:textId="4076A903" w:rsidR="00D767E1" w:rsidRPr="00D767E1" w:rsidRDefault="00D767E1" w:rsidP="00D767E1">
                            <w:pPr>
                              <w:pStyle w:val="Caption"/>
                              <w:rPr>
                                <w:rFonts w:ascii="Andalus" w:hAnsi="Andalus" w:cs="Andalus"/>
                                <w:noProof/>
                                <w:sz w:val="22"/>
                                <w:szCs w:val="22"/>
                              </w:rPr>
                            </w:pPr>
                            <w:r w:rsidRPr="00D767E1">
                              <w:rPr>
                                <w:sz w:val="22"/>
                                <w:szCs w:val="22"/>
                              </w:rPr>
                              <w:t>Insulated ring to prevent corrosion of top 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7D1A9C" id="_x0000_t202" coordsize="21600,21600" o:spt="202" path="m,l,21600r21600,l21600,xe">
                <v:stroke joinstyle="miter"/>
                <v:path gradientshapeok="t" o:connecttype="rect"/>
              </v:shapetype>
              <v:shape id="Text Box 3" o:spid="_x0000_s1026" type="#_x0000_t202" style="position:absolute;margin-left:0;margin-top:189.6pt;width:3in;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vKwIAAF0EAAAOAAAAZHJzL2Uyb0RvYy54bWysVE2P0zAQvSPxHyzfafoBC4qarkpXRUir&#10;3ZVatGfXcRpLjseM3Sbl1zN2ki4snBAXdzwzfs57b9zlbdcYdlboNdiCzyZTzpSVUGp7LPi3/fbd&#10;J858ELYUBqwq+EV5frt6+2bZulzNoQZTKmQEYn3euoLXIbg8y7ysVSP8BJyyVKwAGxFoi8esRNES&#10;emOy+XR6k7WApUOQynvK3vVFvkr4VaVkeKwqrwIzBadvC2nFtB7imq2WIj+icLWWw2eIf/iKRmhL&#10;l16h7kQQ7IT6D6hGSwQPVZhIaDKoKi1V4kBsZtNXbHa1cCpxIXG8u8rk/x+sfDg/IdNlwRecWdGQ&#10;RXvVBfYZOraI6rTO59S0c9QWOkqTy2PeUzKS7ips4i/RYVQnnS9XbSOYpOT84/sFGcaZpNrN4kPE&#10;yF6OOvThi4KGxaDgSMYlPcX53oe+dWyJN3kwutxqY+ImFjYG2VmQyW2tgxrAf+syNvZaiKd6wJjJ&#10;Ir+eR4xCd+gG0gcoL8QZoZ8Z7+RW00X3wocngTQkxIUGPzzSUhloCw5DxFkN+ONv+dhP3lGVs5aG&#10;ruD++0mg4sx8teRqnNAxwDE4jIE9NRsgijN6Uk6mkA5gMGNYITTP9B7W8RYqCSvproKHMdyEfvTp&#10;PUm1XqcmmkMnwr3dORmhR0H33bNAN9gRyMUHGMdR5K9c6XuTL259CiRxsiwK2qs46EwznEwf3lt8&#10;JL/uU9fLv8LqJwAAAP//AwBQSwMEFAAGAAgAAAAhAH/IKbTeAAAACAEAAA8AAABkcnMvZG93bnJl&#10;di54bWxMj8FOwzAQRO9I/IO1SFwQdUiiAiFOVVVwgEtF6IWbG2/jQLyOYqcNf8/CBY47M5p9U65m&#10;14sjjqHzpOBmkYBAarzpqFWwe3u6vgMRoiaje0+o4AsDrKrzs1IXxp/oFY91bAWXUCi0AhvjUEgZ&#10;GotOh4UfkNg7+NHpyOfYSjPqE5e7XqZJspROd8QfrB5wY7H5rCenYJu/b+3VdHh8WefZ+LybNsuP&#10;tlbq8mJeP4CIOMe/MPzgMzpUzLT3E5kgegU8JCrIbu9TEGznWcrK/lfJQFal/D+g+gYAAP//AwBQ&#10;SwECLQAUAAYACAAAACEAtoM4kv4AAADhAQAAEwAAAAAAAAAAAAAAAAAAAAAAW0NvbnRlbnRfVHlw&#10;ZXNdLnhtbFBLAQItABQABgAIAAAAIQA4/SH/1gAAAJQBAAALAAAAAAAAAAAAAAAAAC8BAABfcmVs&#10;cy8ucmVsc1BLAQItABQABgAIAAAAIQA7Ua7vKwIAAF0EAAAOAAAAAAAAAAAAAAAAAC4CAABkcnMv&#10;ZTJvRG9jLnhtbFBLAQItABQABgAIAAAAIQB/yCm03gAAAAgBAAAPAAAAAAAAAAAAAAAAAIUEAABk&#10;cnMvZG93bnJldi54bWxQSwUGAAAAAAQABADzAAAAkAUAAAAA&#10;" stroked="f">
                <v:textbox style="mso-fit-shape-to-text:t" inset="0,0,0,0">
                  <w:txbxContent>
                    <w:p w14:paraId="057CADC9" w14:textId="4076A903" w:rsidR="00D767E1" w:rsidRPr="00D767E1" w:rsidRDefault="00D767E1" w:rsidP="00D767E1">
                      <w:pPr>
                        <w:pStyle w:val="Caption"/>
                        <w:rPr>
                          <w:rFonts w:ascii="Andalus" w:hAnsi="Andalus" w:cs="Andalus"/>
                          <w:noProof/>
                          <w:sz w:val="22"/>
                          <w:szCs w:val="22"/>
                        </w:rPr>
                      </w:pPr>
                      <w:r w:rsidRPr="00D767E1">
                        <w:rPr>
                          <w:sz w:val="22"/>
                          <w:szCs w:val="22"/>
                        </w:rPr>
                        <w:t>Insulated ring to prevent corrosion of top plate</w:t>
                      </w:r>
                    </w:p>
                  </w:txbxContent>
                </v:textbox>
                <w10:wrap type="tight"/>
              </v:shape>
            </w:pict>
          </mc:Fallback>
        </mc:AlternateContent>
      </w:r>
      <w:r w:rsidRPr="007F39D3">
        <w:rPr>
          <w:rFonts w:ascii="Andalus" w:hAnsi="Andalus" w:cs="Andalus"/>
          <w:noProof/>
          <w:sz w:val="16"/>
          <w:szCs w:val="16"/>
          <w:lang w:eastAsia="en-IN"/>
        </w:rPr>
        <w:drawing>
          <wp:anchor distT="0" distB="0" distL="114300" distR="114300" simplePos="0" relativeHeight="251658240" behindDoc="1" locked="0" layoutInCell="1" allowOverlap="1" wp14:anchorId="2F5E695D" wp14:editId="59DD7669">
            <wp:simplePos x="0" y="0"/>
            <wp:positionH relativeFrom="margin">
              <wp:align>left</wp:align>
            </wp:positionH>
            <wp:positionV relativeFrom="paragraph">
              <wp:posOffset>281940</wp:posOffset>
            </wp:positionV>
            <wp:extent cx="2743200" cy="2068830"/>
            <wp:effectExtent l="0" t="0" r="0" b="7620"/>
            <wp:wrapTight wrapText="bothSides">
              <wp:wrapPolygon edited="0">
                <wp:start x="0" y="0"/>
                <wp:lineTo x="0" y="21481"/>
                <wp:lineTo x="21450" y="21481"/>
                <wp:lineTo x="21450" y="0"/>
                <wp:lineTo x="0" y="0"/>
              </wp:wrapPolygon>
            </wp:wrapTight>
            <wp:docPr id="1" name="Picture 1" descr="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06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703" w:rsidRPr="00361703">
        <w:rPr>
          <w:b/>
        </w:rPr>
        <w:t>Image:</w:t>
      </w:r>
    </w:p>
    <w:p w14:paraId="677D9E01" w14:textId="77777777" w:rsidR="00D767E1" w:rsidRDefault="00D767E1" w:rsidP="00D767E1">
      <w:pPr>
        <w:keepNext/>
      </w:pPr>
      <w:r w:rsidRPr="007F39D3">
        <w:rPr>
          <w:rFonts w:ascii="Andalus" w:hAnsi="Andalus" w:cs="Andalus"/>
          <w:noProof/>
          <w:sz w:val="16"/>
          <w:szCs w:val="16"/>
          <w:lang w:eastAsia="en-IN"/>
        </w:rPr>
        <w:drawing>
          <wp:inline distT="0" distB="0" distL="0" distR="0" wp14:anchorId="7EC25DBE" wp14:editId="6F826906">
            <wp:extent cx="2697202" cy="2047875"/>
            <wp:effectExtent l="0" t="0" r="8255" b="0"/>
            <wp:docPr id="2" name="Picture 2" descr="charc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co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578" cy="2055753"/>
                    </a:xfrm>
                    <a:prstGeom prst="rect">
                      <a:avLst/>
                    </a:prstGeom>
                    <a:noFill/>
                    <a:ln>
                      <a:noFill/>
                    </a:ln>
                  </pic:spPr>
                </pic:pic>
              </a:graphicData>
            </a:graphic>
          </wp:inline>
        </w:drawing>
      </w:r>
    </w:p>
    <w:p w14:paraId="51731D45" w14:textId="5EFE04C6" w:rsidR="00361703" w:rsidRPr="00D767E1" w:rsidRDefault="00D767E1" w:rsidP="00D767E1">
      <w:pPr>
        <w:pStyle w:val="Caption"/>
        <w:jc w:val="center"/>
        <w:rPr>
          <w:b/>
          <w:sz w:val="22"/>
          <w:szCs w:val="22"/>
        </w:rPr>
      </w:pPr>
      <w:r w:rsidRPr="00D767E1">
        <w:rPr>
          <w:sz w:val="22"/>
          <w:szCs w:val="22"/>
        </w:rPr>
        <w:t>charcoal grate</w:t>
      </w:r>
    </w:p>
    <w:p w14:paraId="24F9784B" w14:textId="45D7BFE0" w:rsidR="00361703" w:rsidRDefault="00361703" w:rsidP="00361703">
      <w:r w:rsidRPr="008C26C6">
        <w:rPr>
          <w:b/>
        </w:rPr>
        <w:t>Developed by:</w:t>
      </w:r>
      <w:r>
        <w:rPr>
          <w:b/>
        </w:rPr>
        <w:t xml:space="preserve"> </w:t>
      </w:r>
      <w:r>
        <w:t xml:space="preserve">Svati </w:t>
      </w:r>
      <w:proofErr w:type="spellStart"/>
      <w:r>
        <w:t>Bhogle</w:t>
      </w:r>
      <w:proofErr w:type="spellEnd"/>
      <w:r>
        <w:t xml:space="preserve"> and </w:t>
      </w:r>
      <w:proofErr w:type="spellStart"/>
      <w:r>
        <w:t>Velu</w:t>
      </w:r>
      <w:proofErr w:type="spellEnd"/>
      <w:r>
        <w:t xml:space="preserve"> </w:t>
      </w:r>
      <w:r w:rsidRPr="00636805">
        <w:t>for</w:t>
      </w:r>
      <w:r>
        <w:rPr>
          <w:b/>
        </w:rPr>
        <w:t xml:space="preserve"> </w:t>
      </w:r>
      <w:r w:rsidRPr="008C26C6">
        <w:t>TIDE</w:t>
      </w:r>
    </w:p>
    <w:p w14:paraId="74988EBE" w14:textId="290BF974" w:rsidR="00940A03" w:rsidRDefault="00940A03" w:rsidP="00361703">
      <w:pPr>
        <w:rPr>
          <w:b/>
        </w:rPr>
      </w:pPr>
      <w:r w:rsidRPr="00940A03">
        <w:rPr>
          <w:b/>
        </w:rPr>
        <w:t>Advantages:</w:t>
      </w:r>
      <w:r>
        <w:rPr>
          <w:b/>
        </w:rPr>
        <w:t xml:space="preserve"> </w:t>
      </w:r>
    </w:p>
    <w:p w14:paraId="460BC311" w14:textId="218229DD" w:rsidR="00D767E1" w:rsidRDefault="00D767E1" w:rsidP="00D767E1">
      <w:pPr>
        <w:pStyle w:val="ListParagraph"/>
        <w:numPr>
          <w:ilvl w:val="0"/>
          <w:numId w:val="5"/>
        </w:numPr>
        <w:spacing w:after="0" w:line="240" w:lineRule="auto"/>
        <w:rPr>
          <w:rFonts w:eastAsia="Calibri" w:cs="Andalus"/>
        </w:rPr>
      </w:pPr>
      <w:r w:rsidRPr="00D767E1">
        <w:rPr>
          <w:rFonts w:eastAsia="Calibri" w:cs="Andalus"/>
        </w:rPr>
        <w:t>Increases life of stove.</w:t>
      </w:r>
    </w:p>
    <w:p w14:paraId="198CD4F6" w14:textId="7593B73A" w:rsidR="00D767E1" w:rsidRDefault="00D767E1" w:rsidP="00D767E1">
      <w:pPr>
        <w:pStyle w:val="ListParagraph"/>
        <w:numPr>
          <w:ilvl w:val="0"/>
          <w:numId w:val="5"/>
        </w:numPr>
        <w:spacing w:after="0" w:line="240" w:lineRule="auto"/>
        <w:rPr>
          <w:rFonts w:eastAsia="Calibri" w:cs="Andalus"/>
        </w:rPr>
      </w:pPr>
      <w:r>
        <w:rPr>
          <w:rFonts w:eastAsia="Calibri" w:cs="Andalus"/>
        </w:rPr>
        <w:t>Protects the cook from radiating heat</w:t>
      </w:r>
    </w:p>
    <w:p w14:paraId="3EE929BA" w14:textId="24B085FB" w:rsidR="00D767E1" w:rsidRDefault="00D767E1" w:rsidP="00D767E1">
      <w:pPr>
        <w:pStyle w:val="ListParagraph"/>
        <w:numPr>
          <w:ilvl w:val="0"/>
          <w:numId w:val="5"/>
        </w:numPr>
        <w:spacing w:after="0" w:line="240" w:lineRule="auto"/>
        <w:rPr>
          <w:rFonts w:eastAsia="Calibri" w:cs="Andalus"/>
        </w:rPr>
      </w:pPr>
      <w:r>
        <w:rPr>
          <w:rFonts w:eastAsia="Calibri" w:cs="Andalus"/>
        </w:rPr>
        <w:t>Charcoal attachment makes the stove versatile and multi fuel</w:t>
      </w:r>
    </w:p>
    <w:p w14:paraId="2310A69B" w14:textId="4E0B8CDB" w:rsidR="00D767E1" w:rsidRDefault="00D767E1" w:rsidP="00D767E1">
      <w:pPr>
        <w:pStyle w:val="ListParagraph"/>
        <w:numPr>
          <w:ilvl w:val="0"/>
          <w:numId w:val="5"/>
        </w:numPr>
        <w:spacing w:after="0" w:line="240" w:lineRule="auto"/>
        <w:rPr>
          <w:rFonts w:eastAsia="Calibri" w:cs="Andalus"/>
        </w:rPr>
      </w:pPr>
      <w:r>
        <w:rPr>
          <w:rFonts w:eastAsia="Calibri" w:cs="Andalus"/>
        </w:rPr>
        <w:t>Recommended for slow cooking applications</w:t>
      </w:r>
    </w:p>
    <w:p w14:paraId="2C278587" w14:textId="5BECED82" w:rsidR="00D767E1" w:rsidRDefault="00D767E1" w:rsidP="00D767E1">
      <w:pPr>
        <w:pStyle w:val="ListParagraph"/>
        <w:numPr>
          <w:ilvl w:val="0"/>
          <w:numId w:val="5"/>
        </w:numPr>
        <w:spacing w:after="0" w:line="240" w:lineRule="auto"/>
        <w:rPr>
          <w:rFonts w:eastAsia="Calibri" w:cs="Andalus"/>
        </w:rPr>
      </w:pPr>
      <w:r>
        <w:rPr>
          <w:rFonts w:eastAsia="Calibri" w:cs="Andalus"/>
        </w:rPr>
        <w:t>SS cladding improves life of the stove, reduces corrosion and improves the good looks of the stove</w:t>
      </w:r>
    </w:p>
    <w:p w14:paraId="78A49365" w14:textId="77777777" w:rsidR="00D767E1" w:rsidRDefault="00D767E1" w:rsidP="00940A03">
      <w:pPr>
        <w:spacing w:after="0"/>
        <w:rPr>
          <w:b/>
        </w:rPr>
      </w:pPr>
    </w:p>
    <w:p w14:paraId="4A18A2EE" w14:textId="4F56616C" w:rsidR="002D6C85" w:rsidRPr="002D6C85" w:rsidRDefault="002D6C85" w:rsidP="002D6C85">
      <w:pPr>
        <w:pStyle w:val="ListParagraph"/>
        <w:spacing w:after="0" w:line="240" w:lineRule="auto"/>
        <w:rPr>
          <w:rFonts w:cs="Andalus"/>
        </w:rPr>
      </w:pPr>
    </w:p>
    <w:p w14:paraId="01E5883B" w14:textId="04A22869" w:rsidR="00940A03" w:rsidRDefault="00940A03" w:rsidP="00940A03">
      <w:pPr>
        <w:spacing w:after="0"/>
      </w:pPr>
      <w:r w:rsidRPr="008C26C6">
        <w:rPr>
          <w:b/>
        </w:rPr>
        <w:t>Current status:</w:t>
      </w:r>
      <w:r w:rsidR="00D767E1">
        <w:rPr>
          <w:b/>
        </w:rPr>
        <w:t xml:space="preserve">  </w:t>
      </w:r>
      <w:r w:rsidR="00D767E1">
        <w:t>Offered to stove users as an accessory at additional cost.</w:t>
      </w:r>
      <w:r w:rsidR="002D6C85">
        <w:t xml:space="preserve"> </w:t>
      </w:r>
    </w:p>
    <w:p w14:paraId="5DA7ED4A" w14:textId="77777777" w:rsidR="00940A03" w:rsidRDefault="00940A03" w:rsidP="00940A03">
      <w:pPr>
        <w:spacing w:after="0"/>
      </w:pPr>
    </w:p>
    <w:p w14:paraId="573E5C04" w14:textId="21142178" w:rsidR="00940A03" w:rsidRDefault="00940A03" w:rsidP="00940A03">
      <w:r w:rsidRPr="008C26C6">
        <w:rPr>
          <w:b/>
        </w:rPr>
        <w:t>Concerned person</w:t>
      </w:r>
      <w:r>
        <w:t>:</w:t>
      </w:r>
      <w:r w:rsidRPr="008C26C6">
        <w:t xml:space="preserve"> </w:t>
      </w:r>
      <w:r w:rsidR="00D767E1">
        <w:t>Ashiq Ahmed</w:t>
      </w:r>
    </w:p>
    <w:p w14:paraId="1C54C5FF" w14:textId="40BCD6D2" w:rsidR="00D767E1" w:rsidRPr="0039504E" w:rsidRDefault="00D767E1" w:rsidP="00940A03">
      <w:r w:rsidRPr="0039504E">
        <w:t xml:space="preserve">Phone </w:t>
      </w:r>
      <w:r w:rsidRPr="00D767E1">
        <w:rPr>
          <w:rFonts w:eastAsia="Calibri" w:cs="Andalus"/>
        </w:rPr>
        <w:t>8050432333</w:t>
      </w:r>
      <w:r w:rsidRPr="0039504E">
        <w:rPr>
          <w:rFonts w:eastAsia="Calibri" w:cs="Andalus"/>
        </w:rPr>
        <w:t xml:space="preserve">, e-mail: </w:t>
      </w:r>
      <w:r w:rsidRPr="00D767E1">
        <w:rPr>
          <w:rFonts w:eastAsia="Calibri" w:cs="Andalus"/>
        </w:rPr>
        <w:t>ashiq.ahamed@tide-india.org</w:t>
      </w:r>
    </w:p>
    <w:p w14:paraId="0E5CFB3E" w14:textId="77777777" w:rsidR="00940A03" w:rsidRDefault="00940A03" w:rsidP="00940A03">
      <w:pPr>
        <w:shd w:val="clear" w:color="auto" w:fill="FFFFFF"/>
        <w:rPr>
          <w:rFonts w:ascii="Arial" w:eastAsia="Times New Roman" w:hAnsi="Arial" w:cs="Arial"/>
          <w:color w:val="262626"/>
          <w:sz w:val="24"/>
          <w:szCs w:val="24"/>
          <w:lang w:eastAsia="en-IN"/>
        </w:rPr>
      </w:pPr>
      <w:r w:rsidRPr="008C26C6">
        <w:rPr>
          <w:b/>
        </w:rPr>
        <w:t>Contact details:</w:t>
      </w:r>
      <w:r>
        <w:rPr>
          <w:b/>
        </w:rPr>
        <w:t xml:space="preserve"> </w:t>
      </w:r>
      <w:r w:rsidRPr="00940A03">
        <w:rPr>
          <w:rFonts w:eastAsia="Times New Roman" w:cs="Arial"/>
          <w:color w:val="262626"/>
          <w:lang w:eastAsia="en-IN"/>
        </w:rPr>
        <w:t>Technology Informatics Design Endeavour (TIDE)</w:t>
      </w:r>
    </w:p>
    <w:p w14:paraId="6A2786FA"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FF-1, </w:t>
      </w:r>
      <w:proofErr w:type="spellStart"/>
      <w:r w:rsidRPr="008C26C6">
        <w:rPr>
          <w:rFonts w:eastAsia="Times New Roman" w:cs="Arial"/>
          <w:color w:val="262626"/>
          <w:lang w:eastAsia="en-IN"/>
        </w:rPr>
        <w:t>Sapthagiri</w:t>
      </w:r>
      <w:proofErr w:type="spellEnd"/>
      <w:r w:rsidRPr="008C26C6">
        <w:rPr>
          <w:rFonts w:eastAsia="Times New Roman" w:cs="Arial"/>
          <w:color w:val="262626"/>
          <w:lang w:eastAsia="en-IN"/>
        </w:rPr>
        <w:t xml:space="preserve"> Apartments</w:t>
      </w:r>
    </w:p>
    <w:p w14:paraId="09720BB3"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No. 30, 10th Cross, 15</w:t>
      </w:r>
      <w:r w:rsidRPr="008C26C6">
        <w:rPr>
          <w:rFonts w:eastAsia="Times New Roman" w:cs="Arial"/>
          <w:color w:val="262626"/>
          <w:vertAlign w:val="superscript"/>
          <w:lang w:eastAsia="en-IN"/>
        </w:rPr>
        <w:t>th</w:t>
      </w:r>
      <w:r w:rsidRPr="008C26C6">
        <w:rPr>
          <w:rFonts w:eastAsia="Times New Roman" w:cs="Arial"/>
          <w:color w:val="262626"/>
          <w:lang w:eastAsia="en-IN"/>
        </w:rPr>
        <w:t> Main Road </w:t>
      </w:r>
    </w:p>
    <w:p w14:paraId="77379490"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RMV Extension, </w:t>
      </w:r>
      <w:proofErr w:type="spellStart"/>
      <w:r w:rsidRPr="008C26C6">
        <w:rPr>
          <w:rFonts w:eastAsia="Times New Roman" w:cs="Arial"/>
          <w:color w:val="262626"/>
          <w:lang w:eastAsia="en-IN"/>
        </w:rPr>
        <w:t>Sadashivanagar</w:t>
      </w:r>
      <w:proofErr w:type="spellEnd"/>
      <w:r w:rsidRPr="008C26C6">
        <w:rPr>
          <w:rFonts w:eastAsia="Times New Roman" w:cs="Arial"/>
          <w:color w:val="262626"/>
          <w:lang w:eastAsia="en-IN"/>
        </w:rPr>
        <w:t> </w:t>
      </w:r>
    </w:p>
    <w:p w14:paraId="2A4B3D8B"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Bangalore-560 080</w:t>
      </w:r>
    </w:p>
    <w:p w14:paraId="2384C042"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Ph: 080 23612031 23612032</w:t>
      </w:r>
    </w:p>
    <w:p w14:paraId="36D077BF" w14:textId="77777777" w:rsidR="00940A03" w:rsidRPr="008C26C6" w:rsidRDefault="00940A03" w:rsidP="00940A03">
      <w:pPr>
        <w:shd w:val="clear" w:color="auto" w:fill="FFFFFF"/>
        <w:spacing w:after="150" w:line="240" w:lineRule="auto"/>
        <w:rPr>
          <w:rFonts w:eastAsia="Times New Roman" w:cs="Arial"/>
          <w:color w:val="262626"/>
          <w:lang w:eastAsia="en-IN"/>
        </w:rPr>
      </w:pPr>
      <w:r w:rsidRPr="008C26C6">
        <w:rPr>
          <w:rFonts w:eastAsia="Times New Roman" w:cs="Arial"/>
          <w:color w:val="262626"/>
          <w:lang w:eastAsia="en-IN"/>
        </w:rPr>
        <w:t>Mail: </w:t>
      </w:r>
      <w:hyperlink r:id="rId7" w:history="1">
        <w:r w:rsidRPr="008C26C6">
          <w:rPr>
            <w:rFonts w:eastAsia="Times New Roman" w:cs="Arial"/>
            <w:color w:val="15944A"/>
            <w:u w:val="single"/>
            <w:lang w:eastAsia="en-IN"/>
          </w:rPr>
          <w:t>info@tide-india.org</w:t>
        </w:r>
      </w:hyperlink>
      <w:r w:rsidRPr="008C26C6">
        <w:rPr>
          <w:rFonts w:eastAsia="Times New Roman" w:cs="Arial"/>
          <w:color w:val="262626"/>
          <w:lang w:eastAsia="en-IN"/>
        </w:rPr>
        <w:t> , </w:t>
      </w:r>
      <w:hyperlink r:id="rId8" w:history="1">
        <w:r w:rsidRPr="008C26C6">
          <w:rPr>
            <w:rFonts w:eastAsia="Times New Roman" w:cs="Arial"/>
            <w:color w:val="15944A"/>
            <w:u w:val="single"/>
            <w:lang w:eastAsia="en-IN"/>
          </w:rPr>
          <w:t>tide.blr@gmail.com</w:t>
        </w:r>
      </w:hyperlink>
    </w:p>
    <w:p w14:paraId="768EB712" w14:textId="77777777" w:rsidR="00940A03" w:rsidRPr="008C26C6" w:rsidRDefault="00940A03" w:rsidP="00940A03">
      <w:pPr>
        <w:shd w:val="clear" w:color="auto" w:fill="FFFFFF"/>
        <w:spacing w:after="150" w:line="240" w:lineRule="auto"/>
        <w:rPr>
          <w:rFonts w:ascii="Arial" w:eastAsia="Times New Roman" w:hAnsi="Arial" w:cs="Arial"/>
          <w:color w:val="262626"/>
          <w:sz w:val="24"/>
          <w:szCs w:val="24"/>
          <w:lang w:eastAsia="en-IN"/>
        </w:rPr>
      </w:pPr>
    </w:p>
    <w:p w14:paraId="5C1221D4" w14:textId="77777777" w:rsidR="00940A03" w:rsidRPr="008C26C6" w:rsidRDefault="00940A03" w:rsidP="00940A03">
      <w:pPr>
        <w:rPr>
          <w:b/>
        </w:rPr>
      </w:pPr>
    </w:p>
    <w:p w14:paraId="3EA89842" w14:textId="77777777" w:rsidR="00940A03" w:rsidRDefault="00940A03" w:rsidP="00940A03"/>
    <w:p w14:paraId="057F5B7D" w14:textId="77777777" w:rsidR="00940A03" w:rsidRPr="00940A03" w:rsidRDefault="00940A03" w:rsidP="00940A03">
      <w:pPr>
        <w:spacing w:after="0" w:line="240" w:lineRule="auto"/>
        <w:rPr>
          <w:rFonts w:eastAsia="Calibri" w:cs="Arial"/>
        </w:rPr>
      </w:pPr>
    </w:p>
    <w:p w14:paraId="4AC36ECD" w14:textId="77777777" w:rsidR="00940A03" w:rsidRPr="00940A03" w:rsidRDefault="00940A03" w:rsidP="00940A03">
      <w:pPr>
        <w:spacing w:after="0" w:line="240" w:lineRule="auto"/>
        <w:rPr>
          <w:rFonts w:ascii="Andalus" w:eastAsia="Calibri" w:hAnsi="Andalus" w:cs="Andalus"/>
          <w:sz w:val="16"/>
          <w:szCs w:val="16"/>
        </w:rPr>
      </w:pPr>
    </w:p>
    <w:p w14:paraId="4B6D9A80" w14:textId="77777777" w:rsidR="00940A03" w:rsidRPr="00940A03" w:rsidRDefault="00940A03" w:rsidP="00361703">
      <w:pPr>
        <w:rPr>
          <w:b/>
        </w:rPr>
      </w:pPr>
    </w:p>
    <w:p w14:paraId="01728BA9" w14:textId="77777777" w:rsidR="00361703" w:rsidRDefault="00361703" w:rsidP="00361703"/>
    <w:p w14:paraId="2E528EE2" w14:textId="3040324B" w:rsidR="00361703" w:rsidRDefault="00361703" w:rsidP="00361703"/>
    <w:p w14:paraId="29D637F2" w14:textId="77777777" w:rsidR="00361703" w:rsidRDefault="00361703" w:rsidP="00361703"/>
    <w:p w14:paraId="23F914D5" w14:textId="77777777" w:rsidR="00361703" w:rsidRPr="00636805" w:rsidRDefault="00361703" w:rsidP="00361703">
      <w:pPr>
        <w:rPr>
          <w:b/>
        </w:rPr>
      </w:pPr>
    </w:p>
    <w:p w14:paraId="0DE2B2C5" w14:textId="77777777" w:rsidR="00F07D4A" w:rsidRDefault="00F07D4A"/>
    <w:sectPr w:rsidR="00F07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CB6"/>
    <w:multiLevelType w:val="hybridMultilevel"/>
    <w:tmpl w:val="F5E63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183503"/>
    <w:multiLevelType w:val="hybridMultilevel"/>
    <w:tmpl w:val="D6BC7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632DC3"/>
    <w:multiLevelType w:val="hybridMultilevel"/>
    <w:tmpl w:val="8B56F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8E040D5"/>
    <w:multiLevelType w:val="hybridMultilevel"/>
    <w:tmpl w:val="E90625EC"/>
    <w:lvl w:ilvl="0" w:tplc="06ECE440">
      <w:numFmt w:val="bullet"/>
      <w:lvlText w:val=""/>
      <w:lvlJc w:val="left"/>
      <w:pPr>
        <w:ind w:left="720" w:hanging="360"/>
      </w:pPr>
      <w:rPr>
        <w:rFonts w:ascii="Symbol" w:eastAsia="Calibri" w:hAnsi="Symbol" w:cs="Andalu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603197F"/>
    <w:multiLevelType w:val="hybridMultilevel"/>
    <w:tmpl w:val="C0C86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03"/>
    <w:rsid w:val="001B2435"/>
    <w:rsid w:val="00236C9B"/>
    <w:rsid w:val="002374B2"/>
    <w:rsid w:val="002D6C85"/>
    <w:rsid w:val="00361703"/>
    <w:rsid w:val="0039504E"/>
    <w:rsid w:val="008537C5"/>
    <w:rsid w:val="00940A03"/>
    <w:rsid w:val="00C17AE7"/>
    <w:rsid w:val="00C91C50"/>
    <w:rsid w:val="00CF441F"/>
    <w:rsid w:val="00D767E1"/>
    <w:rsid w:val="00E16D3F"/>
    <w:rsid w:val="00F07D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B4AC"/>
  <w15:chartTrackingRefBased/>
  <w15:docId w15:val="{BE81D755-29FF-45DC-A456-1FC92E3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03"/>
    <w:pPr>
      <w:ind w:left="720"/>
      <w:contextualSpacing/>
    </w:pPr>
  </w:style>
  <w:style w:type="paragraph" w:styleId="Caption">
    <w:name w:val="caption"/>
    <w:basedOn w:val="Normal"/>
    <w:next w:val="Normal"/>
    <w:uiPriority w:val="35"/>
    <w:unhideWhenUsed/>
    <w:qFormat/>
    <w:rsid w:val="00D767E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de.blr@gmail.com" TargetMode="External"/><Relationship Id="rId3" Type="http://schemas.openxmlformats.org/officeDocument/2006/relationships/settings" Target="settings.xml"/><Relationship Id="rId7" Type="http://schemas.openxmlformats.org/officeDocument/2006/relationships/hyperlink" Target="mailto:info@tide-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svati</dc:creator>
  <cp:keywords/>
  <dc:description/>
  <cp:lastModifiedBy>svati</cp:lastModifiedBy>
  <cp:revision>5</cp:revision>
  <dcterms:created xsi:type="dcterms:W3CDTF">2018-10-14T07:16:00Z</dcterms:created>
  <dcterms:modified xsi:type="dcterms:W3CDTF">2018-10-14T08:10:00Z</dcterms:modified>
</cp:coreProperties>
</file>